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8A5" w14:textId="77777777" w:rsidR="00790BC6" w:rsidRPr="00790BC6" w:rsidRDefault="00790BC6" w:rsidP="00790BC6">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90BC6">
        <w:rPr>
          <w:rFonts w:ascii="Times New Roman" w:eastAsia="Times New Roman" w:hAnsi="Times New Roman" w:cs="Times New Roman"/>
          <w:b/>
          <w:bCs/>
          <w:kern w:val="36"/>
          <w:sz w:val="48"/>
          <w:szCs w:val="48"/>
          <w:rtl/>
          <w14:ligatures w14:val="none"/>
        </w:rPr>
        <w:t>محاضرة: آثار الخليج العربي والجزيرة العربية (الأختام الخليجية)</w:t>
      </w:r>
    </w:p>
    <w:p w14:paraId="1685751F" w14:textId="77777777" w:rsidR="00790BC6" w:rsidRPr="00790BC6" w:rsidRDefault="00790BC6" w:rsidP="00790BC6">
      <w:pPr>
        <w:bidi w:val="0"/>
        <w:spacing w:before="100" w:beforeAutospacing="1" w:after="100" w:afterAutospacing="1" w:line="240" w:lineRule="auto"/>
        <w:rPr>
          <w:rFonts w:ascii="Times New Roman" w:hAnsi="Times New Roman" w:cs="Times New Roman"/>
          <w:kern w:val="0"/>
          <w14:ligatures w14:val="none"/>
        </w:rPr>
      </w:pPr>
    </w:p>
    <w:p w14:paraId="18EADC11" w14:textId="77777777" w:rsidR="00790BC6" w:rsidRPr="00790BC6" w:rsidRDefault="00790BC6" w:rsidP="00790BC6">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90BC6">
        <w:rPr>
          <w:rFonts w:ascii="Times New Roman" w:eastAsia="Times New Roman" w:hAnsi="Times New Roman" w:cs="Times New Roman"/>
          <w:b/>
          <w:bCs/>
          <w:kern w:val="0"/>
          <w:sz w:val="36"/>
          <w:szCs w:val="36"/>
          <w:rtl/>
          <w14:ligatures w14:val="none"/>
        </w:rPr>
        <w:t>المقدمة</w:t>
      </w:r>
    </w:p>
    <w:p w14:paraId="05092C54" w14:textId="77777777" w:rsidR="00790BC6" w:rsidRPr="00790BC6" w:rsidRDefault="00790BC6" w:rsidP="00790BC6">
      <w:pPr>
        <w:bidi w:val="0"/>
        <w:spacing w:before="100" w:beforeAutospacing="1" w:after="100" w:afterAutospacing="1" w:line="240" w:lineRule="auto"/>
        <w:rPr>
          <w:rFonts w:ascii="Times New Roman" w:hAnsi="Times New Roman" w:cs="Times New Roman"/>
          <w:kern w:val="0"/>
          <w14:ligatures w14:val="none"/>
        </w:rPr>
      </w:pPr>
    </w:p>
    <w:p w14:paraId="4BF6562D" w14:textId="77777777" w:rsidR="00790BC6" w:rsidRPr="00790BC6" w:rsidRDefault="00790BC6" w:rsidP="00790BC6">
      <w:pPr>
        <w:spacing w:before="100" w:beforeAutospacing="1" w:after="100" w:afterAutospacing="1" w:line="240" w:lineRule="auto"/>
        <w:rPr>
          <w:rFonts w:ascii="Times New Roman" w:hAnsi="Times New Roman" w:cs="Times New Roman"/>
          <w:kern w:val="0"/>
          <w14:ligatures w14:val="none"/>
        </w:rPr>
      </w:pPr>
      <w:r w:rsidRPr="00790BC6">
        <w:rPr>
          <w:rFonts w:ascii="Times New Roman" w:hAnsi="Times New Roman" w:cs="Times New Roman"/>
          <w:kern w:val="0"/>
          <w:rtl/>
          <w14:ligatures w14:val="none"/>
        </w:rPr>
        <w:t>الحمد لله رب العالمين، والصلاة والسلام على أشرف المرسلين سيدنا محمد وعلى آله وصحبه أجمعين.</w:t>
      </w:r>
    </w:p>
    <w:p w14:paraId="4454D703" w14:textId="77777777" w:rsidR="00790BC6" w:rsidRPr="00790BC6" w:rsidRDefault="00790BC6" w:rsidP="00790BC6">
      <w:p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الأختام من أهم الشواهد الأثرية التي خلفتها الحضارات القديمة في الخليج العربي والجزيرة العربية، فهي ليست مجرد أدوات إدارية، بل تحمل دلالات ثقافية وفنية واقتصادية. ومن خلال دراستها نستطيع أن نتعرف على طبيعة العلاقات التجارية والسياسية والفنية التي ربطت شعوب الخليج بجيرانها في وادي الرافدين والهند وبلاد فارس.</w:t>
      </w:r>
    </w:p>
    <w:p w14:paraId="05C95FB1" w14:textId="77777777" w:rsidR="00790BC6" w:rsidRPr="00790BC6" w:rsidRDefault="00790BC6" w:rsidP="00790BC6">
      <w:pPr>
        <w:bidi w:val="0"/>
        <w:spacing w:after="0" w:line="240" w:lineRule="auto"/>
        <w:rPr>
          <w:rFonts w:ascii="Times New Roman" w:eastAsia="Times New Roman" w:hAnsi="Times New Roman" w:cs="Times New Roman"/>
          <w:kern w:val="0"/>
          <w:rtl/>
          <w14:ligatures w14:val="none"/>
        </w:rPr>
      </w:pPr>
      <w:r w:rsidRPr="00790BC6">
        <w:rPr>
          <w:rFonts w:ascii="Times New Roman" w:eastAsia="Times New Roman" w:hAnsi="Times New Roman" w:cs="Times New Roman"/>
          <w:noProof/>
          <w:kern w:val="0"/>
          <w14:ligatures w14:val="none"/>
        </w:rPr>
        <mc:AlternateContent>
          <mc:Choice Requires="wps">
            <w:drawing>
              <wp:inline distT="0" distB="0" distL="0" distR="0" wp14:anchorId="3A983285" wp14:editId="7BD6EFFB">
                <wp:extent cx="5274310" cy="1270"/>
                <wp:effectExtent l="0" t="31750" r="0" b="36830"/>
                <wp:docPr id="1077547202"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E63A03" id="مستطيل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1968B55C" w14:textId="77777777" w:rsidR="00790BC6" w:rsidRPr="00790BC6" w:rsidRDefault="00790BC6" w:rsidP="00790BC6">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90BC6">
        <w:rPr>
          <w:rFonts w:ascii="Times New Roman" w:eastAsia="Times New Roman" w:hAnsi="Times New Roman" w:cs="Times New Roman"/>
          <w:b/>
          <w:bCs/>
          <w:kern w:val="0"/>
          <w:sz w:val="36"/>
          <w:szCs w:val="36"/>
          <w:rtl/>
          <w14:ligatures w14:val="none"/>
        </w:rPr>
        <w:t>المحور الأول: ماهية الأختام الخليجية</w:t>
      </w:r>
    </w:p>
    <w:p w14:paraId="61025CC4" w14:textId="77777777" w:rsidR="00790BC6" w:rsidRPr="00790BC6" w:rsidRDefault="00790BC6" w:rsidP="00790BC6">
      <w:pPr>
        <w:numPr>
          <w:ilvl w:val="0"/>
          <w:numId w:val="1"/>
        </w:numPr>
        <w:spacing w:before="100" w:beforeAutospacing="1" w:after="100" w:afterAutospacing="1" w:line="240" w:lineRule="auto"/>
        <w:rPr>
          <w:rFonts w:ascii="Times New Roman" w:hAnsi="Times New Roman" w:cs="Times New Roman"/>
          <w:kern w:val="0"/>
          <w14:ligatures w14:val="none"/>
        </w:rPr>
      </w:pPr>
      <w:r w:rsidRPr="00790BC6">
        <w:rPr>
          <w:rFonts w:ascii="Times New Roman" w:hAnsi="Times New Roman" w:cs="Times New Roman"/>
          <w:kern w:val="0"/>
          <w:rtl/>
          <w14:ligatures w14:val="none"/>
        </w:rPr>
        <w:t>الأختام: أدوات صغيرة من الحجر أو المعدن، تُنقش عليها رموز أو كتابات، وتُستخدم لختم الأواني أو الوثائق أو البضائع.</w:t>
      </w:r>
    </w:p>
    <w:p w14:paraId="32ADBCF2" w14:textId="77777777" w:rsidR="00790BC6" w:rsidRPr="00790BC6" w:rsidRDefault="00790BC6" w:rsidP="00790BC6">
      <w:pPr>
        <w:numPr>
          <w:ilvl w:val="0"/>
          <w:numId w:val="1"/>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وُجدت في عدة مواقع أثرية في الخليج (البحرين، عُمان، الكويت، الإمارات، شرق السعودية).</w:t>
      </w:r>
    </w:p>
    <w:p w14:paraId="4E365F6A" w14:textId="77777777" w:rsidR="00790BC6" w:rsidRPr="00790BC6" w:rsidRDefault="00790BC6" w:rsidP="00790BC6">
      <w:pPr>
        <w:numPr>
          <w:ilvl w:val="0"/>
          <w:numId w:val="1"/>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تُقسم إلى نوعين رئيسيين:</w:t>
      </w:r>
    </w:p>
    <w:p w14:paraId="16F734A3" w14:textId="77777777" w:rsidR="00790BC6" w:rsidRPr="00790BC6" w:rsidRDefault="00790BC6" w:rsidP="00790BC6">
      <w:pPr>
        <w:numPr>
          <w:ilvl w:val="1"/>
          <w:numId w:val="1"/>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الأختام الأسطوانية: ذات أصل من وادي الرافدين.</w:t>
      </w:r>
    </w:p>
    <w:p w14:paraId="24AAFD80" w14:textId="77777777" w:rsidR="00790BC6" w:rsidRPr="00790BC6" w:rsidRDefault="00790BC6" w:rsidP="00790BC6">
      <w:pPr>
        <w:numPr>
          <w:ilvl w:val="1"/>
          <w:numId w:val="1"/>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الأختام الدائرية (الخليجية المميزة): وهي الطابع الأصيل للمنطقة.</w:t>
      </w:r>
    </w:p>
    <w:p w14:paraId="4ECBD863" w14:textId="77777777" w:rsidR="00790BC6" w:rsidRPr="00790BC6" w:rsidRDefault="00790BC6" w:rsidP="00790BC6">
      <w:pPr>
        <w:bidi w:val="0"/>
        <w:spacing w:after="0" w:line="240" w:lineRule="auto"/>
        <w:rPr>
          <w:rFonts w:ascii="Times New Roman" w:eastAsia="Times New Roman" w:hAnsi="Times New Roman" w:cs="Times New Roman"/>
          <w:kern w:val="0"/>
          <w:rtl/>
          <w14:ligatures w14:val="none"/>
        </w:rPr>
      </w:pPr>
      <w:r w:rsidRPr="00790BC6">
        <w:rPr>
          <w:rFonts w:ascii="Times New Roman" w:eastAsia="Times New Roman" w:hAnsi="Times New Roman" w:cs="Times New Roman"/>
          <w:noProof/>
          <w:kern w:val="0"/>
          <w14:ligatures w14:val="none"/>
        </w:rPr>
        <mc:AlternateContent>
          <mc:Choice Requires="wps">
            <w:drawing>
              <wp:inline distT="0" distB="0" distL="0" distR="0" wp14:anchorId="7FC15DF3" wp14:editId="383E3787">
                <wp:extent cx="5274310" cy="1270"/>
                <wp:effectExtent l="0" t="31750" r="0" b="36830"/>
                <wp:docPr id="1957711765"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CC98B2"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7D393357" w14:textId="77777777" w:rsidR="00790BC6" w:rsidRPr="00790BC6" w:rsidRDefault="00790BC6" w:rsidP="00790BC6">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90BC6">
        <w:rPr>
          <w:rFonts w:ascii="Times New Roman" w:eastAsia="Times New Roman" w:hAnsi="Times New Roman" w:cs="Times New Roman"/>
          <w:b/>
          <w:bCs/>
          <w:kern w:val="0"/>
          <w:sz w:val="36"/>
          <w:szCs w:val="36"/>
          <w:rtl/>
          <w14:ligatures w14:val="none"/>
        </w:rPr>
        <w:t>المحور الثاني: أهم مواقع اكتشاف الأختام في الخليج</w:t>
      </w:r>
    </w:p>
    <w:p w14:paraId="16738798" w14:textId="77777777" w:rsidR="00790BC6" w:rsidRPr="00790BC6" w:rsidRDefault="00790BC6" w:rsidP="00790BC6">
      <w:pPr>
        <w:numPr>
          <w:ilvl w:val="0"/>
          <w:numId w:val="2"/>
        </w:numPr>
        <w:spacing w:before="100" w:beforeAutospacing="1" w:after="100" w:afterAutospacing="1" w:line="240" w:lineRule="auto"/>
        <w:rPr>
          <w:rFonts w:ascii="Times New Roman" w:hAnsi="Times New Roman" w:cs="Times New Roman"/>
          <w:kern w:val="0"/>
          <w14:ligatures w14:val="none"/>
        </w:rPr>
      </w:pPr>
      <w:r w:rsidRPr="00790BC6">
        <w:rPr>
          <w:rFonts w:ascii="Times New Roman" w:hAnsi="Times New Roman" w:cs="Times New Roman"/>
          <w:kern w:val="0"/>
          <w:rtl/>
          <w14:ligatures w14:val="none"/>
        </w:rPr>
        <w:t>البحرين (دلمون):</w:t>
      </w:r>
    </w:p>
    <w:p w14:paraId="692596C7" w14:textId="77777777" w:rsidR="00790BC6" w:rsidRPr="00790BC6" w:rsidRDefault="00790BC6" w:rsidP="00790BC6">
      <w:pPr>
        <w:numPr>
          <w:ilvl w:val="1"/>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عُثر على مئات الأختام في موقع قلعة البحرين وباربار.</w:t>
      </w:r>
    </w:p>
    <w:p w14:paraId="621631D9" w14:textId="77777777" w:rsidR="00790BC6" w:rsidRPr="00790BC6" w:rsidRDefault="00790BC6" w:rsidP="00790BC6">
      <w:pPr>
        <w:numPr>
          <w:ilvl w:val="1"/>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تميزت بزخارف هندسية وحيوانية.</w:t>
      </w:r>
    </w:p>
    <w:p w14:paraId="08833EB5" w14:textId="77777777" w:rsidR="00790BC6" w:rsidRPr="00790BC6" w:rsidRDefault="00790BC6" w:rsidP="00790BC6">
      <w:pPr>
        <w:numPr>
          <w:ilvl w:val="0"/>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الكويت (فيلكا):</w:t>
      </w:r>
    </w:p>
    <w:p w14:paraId="2E09564F" w14:textId="77777777" w:rsidR="00790BC6" w:rsidRPr="00790BC6" w:rsidRDefault="00790BC6" w:rsidP="00790BC6">
      <w:pPr>
        <w:numPr>
          <w:ilvl w:val="1"/>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أختام دائرية تحمل رموزًا دينية وتجارية.</w:t>
      </w:r>
    </w:p>
    <w:p w14:paraId="3740E326" w14:textId="77777777" w:rsidR="00790BC6" w:rsidRPr="00790BC6" w:rsidRDefault="00790BC6" w:rsidP="00790BC6">
      <w:pPr>
        <w:numPr>
          <w:ilvl w:val="1"/>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تدل على العلاقات مع حضارة وادي الرافدين.</w:t>
      </w:r>
    </w:p>
    <w:p w14:paraId="4F570976" w14:textId="77777777" w:rsidR="00790BC6" w:rsidRPr="00790BC6" w:rsidRDefault="00790BC6" w:rsidP="00790BC6">
      <w:pPr>
        <w:numPr>
          <w:ilvl w:val="0"/>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عُمان (مجان):</w:t>
      </w:r>
    </w:p>
    <w:p w14:paraId="5912D9D8" w14:textId="77777777" w:rsidR="00790BC6" w:rsidRPr="00790BC6" w:rsidRDefault="00790BC6" w:rsidP="00790BC6">
      <w:pPr>
        <w:numPr>
          <w:ilvl w:val="1"/>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أختام تعود للألف الثالث قبل الميلاد.</w:t>
      </w:r>
    </w:p>
    <w:p w14:paraId="433C157A" w14:textId="77777777" w:rsidR="00790BC6" w:rsidRPr="00790BC6" w:rsidRDefault="00790BC6" w:rsidP="00790BC6">
      <w:pPr>
        <w:numPr>
          <w:ilvl w:val="1"/>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مرتبطة بتجارة النحاس مع بلاد الرافدين.</w:t>
      </w:r>
    </w:p>
    <w:p w14:paraId="7310B346" w14:textId="77777777" w:rsidR="00790BC6" w:rsidRPr="00790BC6" w:rsidRDefault="00790BC6" w:rsidP="00790BC6">
      <w:pPr>
        <w:numPr>
          <w:ilvl w:val="0"/>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السعودية (المنطقة الشرقية):</w:t>
      </w:r>
    </w:p>
    <w:p w14:paraId="62BA68FB" w14:textId="77777777" w:rsidR="00790BC6" w:rsidRPr="00790BC6" w:rsidRDefault="00790BC6" w:rsidP="00790BC6">
      <w:pPr>
        <w:numPr>
          <w:ilvl w:val="1"/>
          <w:numId w:val="2"/>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مواقع مثل ثاج والدوحة والعقير أظهرت أختامًا متنوعة.</w:t>
      </w:r>
    </w:p>
    <w:p w14:paraId="245A5C3F" w14:textId="77777777" w:rsidR="00790BC6" w:rsidRPr="00790BC6" w:rsidRDefault="00790BC6" w:rsidP="00790BC6">
      <w:pPr>
        <w:bidi w:val="0"/>
        <w:spacing w:after="0" w:line="240" w:lineRule="auto"/>
        <w:rPr>
          <w:rFonts w:ascii="Times New Roman" w:eastAsia="Times New Roman" w:hAnsi="Times New Roman" w:cs="Times New Roman"/>
          <w:kern w:val="0"/>
          <w:rtl/>
          <w14:ligatures w14:val="none"/>
        </w:rPr>
      </w:pPr>
      <w:r w:rsidRPr="00790BC6">
        <w:rPr>
          <w:rFonts w:ascii="Times New Roman" w:eastAsia="Times New Roman" w:hAnsi="Times New Roman" w:cs="Times New Roman"/>
          <w:noProof/>
          <w:kern w:val="0"/>
          <w14:ligatures w14:val="none"/>
        </w:rPr>
        <mc:AlternateContent>
          <mc:Choice Requires="wps">
            <w:drawing>
              <wp:inline distT="0" distB="0" distL="0" distR="0" wp14:anchorId="45E50072" wp14:editId="7D4EFD69">
                <wp:extent cx="5274310" cy="1270"/>
                <wp:effectExtent l="0" t="31750" r="0" b="36830"/>
                <wp:docPr id="1723474967"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00BFB1"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991A86A" w14:textId="77777777" w:rsidR="00790BC6" w:rsidRPr="00790BC6" w:rsidRDefault="00790BC6" w:rsidP="00790BC6">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90BC6">
        <w:rPr>
          <w:rFonts w:ascii="Times New Roman" w:eastAsia="Times New Roman" w:hAnsi="Times New Roman" w:cs="Times New Roman"/>
          <w:b/>
          <w:bCs/>
          <w:kern w:val="0"/>
          <w:sz w:val="36"/>
          <w:szCs w:val="36"/>
          <w:rtl/>
          <w14:ligatures w14:val="none"/>
        </w:rPr>
        <w:t>المحور الثالث: خصائص الأختام الخليجية</w:t>
      </w:r>
    </w:p>
    <w:p w14:paraId="23F6C7F2" w14:textId="77777777" w:rsidR="00790BC6" w:rsidRPr="00790BC6" w:rsidRDefault="00790BC6" w:rsidP="00790BC6">
      <w:pPr>
        <w:numPr>
          <w:ilvl w:val="0"/>
          <w:numId w:val="3"/>
        </w:numPr>
        <w:spacing w:before="100" w:beforeAutospacing="1" w:after="100" w:afterAutospacing="1" w:line="240" w:lineRule="auto"/>
        <w:rPr>
          <w:rFonts w:ascii="Times New Roman" w:hAnsi="Times New Roman" w:cs="Times New Roman"/>
          <w:kern w:val="0"/>
          <w14:ligatures w14:val="none"/>
        </w:rPr>
      </w:pPr>
      <w:r w:rsidRPr="00790BC6">
        <w:rPr>
          <w:rFonts w:ascii="Times New Roman" w:hAnsi="Times New Roman" w:cs="Times New Roman"/>
          <w:kern w:val="0"/>
          <w:rtl/>
          <w14:ligatures w14:val="none"/>
        </w:rPr>
        <w:lastRenderedPageBreak/>
        <w:t>الجانب الفني:</w:t>
      </w:r>
    </w:p>
    <w:p w14:paraId="4D6155CC" w14:textId="77777777" w:rsidR="00790BC6" w:rsidRPr="00790BC6" w:rsidRDefault="00790BC6" w:rsidP="00790BC6">
      <w:pPr>
        <w:numPr>
          <w:ilvl w:val="1"/>
          <w:numId w:val="3"/>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زخارف هندسية (دوائر، نجوم، خطوط متقاطعة).</w:t>
      </w:r>
    </w:p>
    <w:p w14:paraId="2A254682" w14:textId="77777777" w:rsidR="00790BC6" w:rsidRPr="00790BC6" w:rsidRDefault="00790BC6" w:rsidP="00790BC6">
      <w:pPr>
        <w:numPr>
          <w:ilvl w:val="1"/>
          <w:numId w:val="3"/>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صور حيوانية (طيور، ثيران، أسماك).</w:t>
      </w:r>
    </w:p>
    <w:p w14:paraId="730EA312" w14:textId="77777777" w:rsidR="00790BC6" w:rsidRPr="00790BC6" w:rsidRDefault="00790BC6" w:rsidP="00790BC6">
      <w:pPr>
        <w:numPr>
          <w:ilvl w:val="1"/>
          <w:numId w:val="3"/>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رموز دينية وميثولوجية.</w:t>
      </w:r>
    </w:p>
    <w:p w14:paraId="1392CC13" w14:textId="77777777" w:rsidR="00790BC6" w:rsidRPr="00790BC6" w:rsidRDefault="00790BC6" w:rsidP="00790BC6">
      <w:pPr>
        <w:numPr>
          <w:ilvl w:val="0"/>
          <w:numId w:val="3"/>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الجانب الوظيفي:</w:t>
      </w:r>
    </w:p>
    <w:p w14:paraId="01ABA2FD" w14:textId="77777777" w:rsidR="00790BC6" w:rsidRPr="00790BC6" w:rsidRDefault="00790BC6" w:rsidP="00790BC6">
      <w:pPr>
        <w:numPr>
          <w:ilvl w:val="1"/>
          <w:numId w:val="3"/>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وسيلة لتوثيق الصفقات التجارية.</w:t>
      </w:r>
    </w:p>
    <w:p w14:paraId="30986C39" w14:textId="77777777" w:rsidR="00790BC6" w:rsidRPr="00790BC6" w:rsidRDefault="00790BC6" w:rsidP="00790BC6">
      <w:pPr>
        <w:numPr>
          <w:ilvl w:val="1"/>
          <w:numId w:val="3"/>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وسيلة لضمان الملكية ومنع التزوير.</w:t>
      </w:r>
    </w:p>
    <w:p w14:paraId="627C95E8" w14:textId="77777777" w:rsidR="00790BC6" w:rsidRPr="00790BC6" w:rsidRDefault="00790BC6" w:rsidP="00790BC6">
      <w:pPr>
        <w:numPr>
          <w:ilvl w:val="1"/>
          <w:numId w:val="3"/>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أداة للاتصال الرمزي بين التجار والسكان.</w:t>
      </w:r>
    </w:p>
    <w:p w14:paraId="608FD5E6" w14:textId="77777777" w:rsidR="00790BC6" w:rsidRPr="00790BC6" w:rsidRDefault="00790BC6" w:rsidP="00790BC6">
      <w:pPr>
        <w:bidi w:val="0"/>
        <w:spacing w:after="0" w:line="240" w:lineRule="auto"/>
        <w:rPr>
          <w:rFonts w:ascii="Times New Roman" w:eastAsia="Times New Roman" w:hAnsi="Times New Roman" w:cs="Times New Roman"/>
          <w:kern w:val="0"/>
          <w:rtl/>
          <w14:ligatures w14:val="none"/>
        </w:rPr>
      </w:pPr>
      <w:r w:rsidRPr="00790BC6">
        <w:rPr>
          <w:rFonts w:ascii="Times New Roman" w:eastAsia="Times New Roman" w:hAnsi="Times New Roman" w:cs="Times New Roman"/>
          <w:noProof/>
          <w:kern w:val="0"/>
          <w14:ligatures w14:val="none"/>
        </w:rPr>
        <mc:AlternateContent>
          <mc:Choice Requires="wps">
            <w:drawing>
              <wp:inline distT="0" distB="0" distL="0" distR="0" wp14:anchorId="5A5CA9D7" wp14:editId="2FEC9152">
                <wp:extent cx="5274310" cy="1270"/>
                <wp:effectExtent l="0" t="33655" r="0" b="38735"/>
                <wp:docPr id="117066207"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DA3649"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90DB29F" w14:textId="77777777" w:rsidR="00790BC6" w:rsidRPr="00790BC6" w:rsidRDefault="00790BC6" w:rsidP="00790BC6">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90BC6">
        <w:rPr>
          <w:rFonts w:ascii="Times New Roman" w:eastAsia="Times New Roman" w:hAnsi="Times New Roman" w:cs="Times New Roman"/>
          <w:b/>
          <w:bCs/>
          <w:kern w:val="0"/>
          <w:sz w:val="36"/>
          <w:szCs w:val="36"/>
          <w:rtl/>
          <w14:ligatures w14:val="none"/>
        </w:rPr>
        <w:t>المحور الرابع: أهمية الأختام الخليجية في دراسة العلاقات الحضارية</w:t>
      </w:r>
    </w:p>
    <w:p w14:paraId="6D8A3DF9" w14:textId="77777777" w:rsidR="00790BC6" w:rsidRPr="00790BC6" w:rsidRDefault="00790BC6" w:rsidP="00790BC6">
      <w:pPr>
        <w:numPr>
          <w:ilvl w:val="0"/>
          <w:numId w:val="4"/>
        </w:numPr>
        <w:spacing w:before="100" w:beforeAutospacing="1" w:after="100" w:afterAutospacing="1" w:line="240" w:lineRule="auto"/>
        <w:rPr>
          <w:rFonts w:ascii="Times New Roman" w:hAnsi="Times New Roman" w:cs="Times New Roman"/>
          <w:kern w:val="0"/>
          <w14:ligatures w14:val="none"/>
        </w:rPr>
      </w:pPr>
      <w:r w:rsidRPr="00790BC6">
        <w:rPr>
          <w:rFonts w:ascii="Times New Roman" w:hAnsi="Times New Roman" w:cs="Times New Roman"/>
          <w:kern w:val="0"/>
          <w:rtl/>
          <w14:ligatures w14:val="none"/>
        </w:rPr>
        <w:t>التجارة الدولية:</w:t>
      </w:r>
    </w:p>
    <w:p w14:paraId="6B786CD8"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وجود الأختام في مواقع متعددة يدل على ازدهار التبادل التجاري.</w:t>
      </w:r>
    </w:p>
    <w:p w14:paraId="05F4902F"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دلمون ومجان كانتا وسيطتين بين وادي الرافدين والهند.</w:t>
      </w:r>
    </w:p>
    <w:p w14:paraId="124C1C57" w14:textId="77777777" w:rsidR="00790BC6" w:rsidRPr="00790BC6" w:rsidRDefault="00790BC6" w:rsidP="00790BC6">
      <w:pPr>
        <w:numPr>
          <w:ilvl w:val="0"/>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التأثير الثقافي:</w:t>
      </w:r>
    </w:p>
    <w:p w14:paraId="0CE7F11A"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الأختام الأسطوانية من الرافدين انتقلت إلى الخليج، لكن السكان ابتكروا الطابع الدائري المميز.</w:t>
      </w:r>
    </w:p>
    <w:p w14:paraId="39192E77"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هذا يعكس التفاعل الثقافي مع الحفاظ على الهوية المحلية.</w:t>
      </w:r>
    </w:p>
    <w:p w14:paraId="161851AA" w14:textId="77777777" w:rsidR="00790BC6" w:rsidRPr="00790BC6" w:rsidRDefault="00790BC6" w:rsidP="00790BC6">
      <w:pPr>
        <w:numPr>
          <w:ilvl w:val="0"/>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الإدارة والتنظيم:</w:t>
      </w:r>
    </w:p>
    <w:p w14:paraId="3E01B6B5"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الأختام تكشف عن وجود نظم إدارية واقتصادية متقدمة.</w:t>
      </w:r>
    </w:p>
    <w:p w14:paraId="62CB1053"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دليل على أن المجتمعات الخليجية كانت منظمة وليست بدوية فحسب.</w:t>
      </w:r>
    </w:p>
    <w:p w14:paraId="233E2070" w14:textId="77777777" w:rsidR="00790BC6" w:rsidRPr="00790BC6" w:rsidRDefault="00790BC6" w:rsidP="00790BC6">
      <w:pPr>
        <w:numPr>
          <w:ilvl w:val="0"/>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الفن والدين:</w:t>
      </w:r>
    </w:p>
    <w:p w14:paraId="216F2BD3"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الرموز المحفورة تحمل إشارات إلى معتقدات وطقوس دينية.</w:t>
      </w:r>
    </w:p>
    <w:p w14:paraId="40F10DE7" w14:textId="77777777" w:rsidR="00790BC6" w:rsidRPr="00790BC6" w:rsidRDefault="00790BC6" w:rsidP="00790BC6">
      <w:pPr>
        <w:numPr>
          <w:ilvl w:val="1"/>
          <w:numId w:val="4"/>
        </w:numPr>
        <w:spacing w:before="100" w:beforeAutospacing="1" w:after="100" w:afterAutospacing="1" w:line="240" w:lineRule="auto"/>
        <w:rPr>
          <w:rFonts w:ascii="Times New Roman" w:hAnsi="Times New Roman" w:cs="Times New Roman"/>
          <w:kern w:val="0"/>
          <w:rtl/>
          <w14:ligatures w14:val="none"/>
        </w:rPr>
      </w:pPr>
      <w:r w:rsidRPr="00790BC6">
        <w:rPr>
          <w:rFonts w:ascii="Times New Roman" w:hAnsi="Times New Roman" w:cs="Times New Roman"/>
          <w:kern w:val="0"/>
          <w:rtl/>
          <w14:ligatures w14:val="none"/>
        </w:rPr>
        <w:t>بعضها قد يمثل آلهة محلية أو رموز حماية.</w:t>
      </w:r>
    </w:p>
    <w:p w14:paraId="7AAF1EFF" w14:textId="77777777" w:rsidR="00790BC6" w:rsidRPr="00790BC6" w:rsidRDefault="00790BC6" w:rsidP="00790BC6">
      <w:pPr>
        <w:bidi w:val="0"/>
        <w:spacing w:after="0" w:line="240" w:lineRule="auto"/>
        <w:rPr>
          <w:rFonts w:ascii="Times New Roman" w:eastAsia="Times New Roman" w:hAnsi="Times New Roman" w:cs="Times New Roman"/>
          <w:kern w:val="0"/>
          <w:rtl/>
          <w14:ligatures w14:val="none"/>
        </w:rPr>
      </w:pPr>
      <w:r w:rsidRPr="00790BC6">
        <w:rPr>
          <w:rFonts w:ascii="Times New Roman" w:eastAsia="Times New Roman" w:hAnsi="Times New Roman" w:cs="Times New Roman"/>
          <w:noProof/>
          <w:kern w:val="0"/>
          <w14:ligatures w14:val="none"/>
        </w:rPr>
        <mc:AlternateContent>
          <mc:Choice Requires="wps">
            <w:drawing>
              <wp:inline distT="0" distB="0" distL="0" distR="0" wp14:anchorId="218FC611" wp14:editId="23AE3466">
                <wp:extent cx="5274310" cy="1270"/>
                <wp:effectExtent l="0" t="33655" r="0" b="38735"/>
                <wp:docPr id="566842844"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8B293F"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B4512CD" w14:textId="77777777" w:rsidR="00790BC6" w:rsidRPr="00790BC6" w:rsidRDefault="00790BC6" w:rsidP="00790BC6">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790BC6">
        <w:rPr>
          <w:rFonts w:ascii="Times New Roman" w:eastAsia="Times New Roman" w:hAnsi="Times New Roman" w:cs="Times New Roman"/>
          <w:b/>
          <w:bCs/>
          <w:kern w:val="0"/>
          <w:sz w:val="36"/>
          <w:szCs w:val="36"/>
          <w:rtl/>
          <w14:ligatures w14:val="none"/>
        </w:rPr>
        <w:t>الخاتمة</w:t>
      </w:r>
    </w:p>
    <w:p w14:paraId="13EF072F" w14:textId="77777777" w:rsidR="00790BC6" w:rsidRPr="00790BC6" w:rsidRDefault="00790BC6" w:rsidP="00790BC6">
      <w:pPr>
        <w:bidi w:val="0"/>
        <w:spacing w:before="100" w:beforeAutospacing="1" w:after="100" w:afterAutospacing="1" w:line="240" w:lineRule="auto"/>
        <w:rPr>
          <w:rFonts w:ascii="Times New Roman" w:hAnsi="Times New Roman" w:cs="Times New Roman"/>
          <w:kern w:val="0"/>
          <w14:ligatures w14:val="none"/>
        </w:rPr>
      </w:pPr>
    </w:p>
    <w:p w14:paraId="53F35F34" w14:textId="77777777" w:rsidR="00790BC6" w:rsidRPr="00790BC6" w:rsidRDefault="00790BC6" w:rsidP="00790BC6">
      <w:pPr>
        <w:spacing w:before="100" w:beforeAutospacing="1" w:after="100" w:afterAutospacing="1" w:line="240" w:lineRule="auto"/>
        <w:rPr>
          <w:rFonts w:ascii="Times New Roman" w:hAnsi="Times New Roman" w:cs="Times New Roman"/>
          <w:kern w:val="0"/>
          <w14:ligatures w14:val="none"/>
        </w:rPr>
      </w:pPr>
      <w:r w:rsidRPr="00790BC6">
        <w:rPr>
          <w:rFonts w:ascii="Times New Roman" w:hAnsi="Times New Roman" w:cs="Times New Roman"/>
          <w:kern w:val="0"/>
          <w:rtl/>
          <w14:ligatures w14:val="none"/>
        </w:rPr>
        <w:t>إن الأختام الخليجية تمثل واحدة من أروع الشواهد الأثرية التي تكشف عن أهمية الخليج العربي كجسر حضاري وتجاري بين الشرق والغرب. فهي دليل على وجود إدارة متقدمة، وتواصل ثقافي مع وادي الرافدين والهند، وفي الوقت نفسه تعكس خصوصية فنية محلية. ومن خلال دراستها نستطيع أن نفهم أعمق جوانب الحياة الاقتصادية والثقافية في المنطقة منذ آلاف السنين</w:t>
      </w:r>
    </w:p>
    <w:p w14:paraId="4C696890" w14:textId="77777777" w:rsidR="00790BC6" w:rsidRDefault="00790BC6"/>
    <w:sectPr w:rsidR="00790BC6"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105"/>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D01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A6DEE"/>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73D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194576">
    <w:abstractNumId w:val="3"/>
  </w:num>
  <w:num w:numId="2" w16cid:durableId="212889448">
    <w:abstractNumId w:val="2"/>
  </w:num>
  <w:num w:numId="3" w16cid:durableId="1959407479">
    <w:abstractNumId w:val="1"/>
  </w:num>
  <w:num w:numId="4" w16cid:durableId="72517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C6"/>
    <w:rsid w:val="0058073E"/>
    <w:rsid w:val="00790BC6"/>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59BD2F3"/>
  <w15:chartTrackingRefBased/>
  <w15:docId w15:val="{53A4966C-876B-5B43-A0C5-7BD9CF64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90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790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90B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90B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90B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90B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0B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0B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0B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90BC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90BC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90BC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90BC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90BC6"/>
    <w:rPr>
      <w:rFonts w:eastAsiaTheme="majorEastAsia" w:cstheme="majorBidi"/>
      <w:color w:val="2F5496" w:themeColor="accent1" w:themeShade="BF"/>
    </w:rPr>
  </w:style>
  <w:style w:type="character" w:customStyle="1" w:styleId="6Char">
    <w:name w:val="عنوان 6 Char"/>
    <w:basedOn w:val="a0"/>
    <w:link w:val="6"/>
    <w:uiPriority w:val="9"/>
    <w:semiHidden/>
    <w:rsid w:val="00790BC6"/>
    <w:rPr>
      <w:rFonts w:eastAsiaTheme="majorEastAsia" w:cstheme="majorBidi"/>
      <w:i/>
      <w:iCs/>
      <w:color w:val="595959" w:themeColor="text1" w:themeTint="A6"/>
    </w:rPr>
  </w:style>
  <w:style w:type="character" w:customStyle="1" w:styleId="7Char">
    <w:name w:val="عنوان 7 Char"/>
    <w:basedOn w:val="a0"/>
    <w:link w:val="7"/>
    <w:uiPriority w:val="9"/>
    <w:semiHidden/>
    <w:rsid w:val="00790BC6"/>
    <w:rPr>
      <w:rFonts w:eastAsiaTheme="majorEastAsia" w:cstheme="majorBidi"/>
      <w:color w:val="595959" w:themeColor="text1" w:themeTint="A6"/>
    </w:rPr>
  </w:style>
  <w:style w:type="character" w:customStyle="1" w:styleId="8Char">
    <w:name w:val="عنوان 8 Char"/>
    <w:basedOn w:val="a0"/>
    <w:link w:val="8"/>
    <w:uiPriority w:val="9"/>
    <w:semiHidden/>
    <w:rsid w:val="00790BC6"/>
    <w:rPr>
      <w:rFonts w:eastAsiaTheme="majorEastAsia" w:cstheme="majorBidi"/>
      <w:i/>
      <w:iCs/>
      <w:color w:val="272727" w:themeColor="text1" w:themeTint="D8"/>
    </w:rPr>
  </w:style>
  <w:style w:type="character" w:customStyle="1" w:styleId="9Char">
    <w:name w:val="عنوان 9 Char"/>
    <w:basedOn w:val="a0"/>
    <w:link w:val="9"/>
    <w:uiPriority w:val="9"/>
    <w:semiHidden/>
    <w:rsid w:val="00790BC6"/>
    <w:rPr>
      <w:rFonts w:eastAsiaTheme="majorEastAsia" w:cstheme="majorBidi"/>
      <w:color w:val="272727" w:themeColor="text1" w:themeTint="D8"/>
    </w:rPr>
  </w:style>
  <w:style w:type="paragraph" w:styleId="a3">
    <w:name w:val="Title"/>
    <w:basedOn w:val="a"/>
    <w:next w:val="a"/>
    <w:link w:val="Char"/>
    <w:uiPriority w:val="10"/>
    <w:qFormat/>
    <w:rsid w:val="00790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90B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0BC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90B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0BC6"/>
    <w:pPr>
      <w:spacing w:before="160"/>
      <w:jc w:val="center"/>
    </w:pPr>
    <w:rPr>
      <w:i/>
      <w:iCs/>
      <w:color w:val="404040" w:themeColor="text1" w:themeTint="BF"/>
    </w:rPr>
  </w:style>
  <w:style w:type="character" w:customStyle="1" w:styleId="Char1">
    <w:name w:val="اقتباس Char"/>
    <w:basedOn w:val="a0"/>
    <w:link w:val="a5"/>
    <w:uiPriority w:val="29"/>
    <w:rsid w:val="00790BC6"/>
    <w:rPr>
      <w:i/>
      <w:iCs/>
      <w:color w:val="404040" w:themeColor="text1" w:themeTint="BF"/>
    </w:rPr>
  </w:style>
  <w:style w:type="paragraph" w:styleId="a6">
    <w:name w:val="List Paragraph"/>
    <w:basedOn w:val="a"/>
    <w:uiPriority w:val="34"/>
    <w:qFormat/>
    <w:rsid w:val="00790BC6"/>
    <w:pPr>
      <w:ind w:left="720"/>
      <w:contextualSpacing/>
    </w:pPr>
  </w:style>
  <w:style w:type="character" w:styleId="a7">
    <w:name w:val="Intense Emphasis"/>
    <w:basedOn w:val="a0"/>
    <w:uiPriority w:val="21"/>
    <w:qFormat/>
    <w:rsid w:val="00790BC6"/>
    <w:rPr>
      <w:i/>
      <w:iCs/>
      <w:color w:val="2F5496" w:themeColor="accent1" w:themeShade="BF"/>
    </w:rPr>
  </w:style>
  <w:style w:type="paragraph" w:styleId="a8">
    <w:name w:val="Intense Quote"/>
    <w:basedOn w:val="a"/>
    <w:next w:val="a"/>
    <w:link w:val="Char2"/>
    <w:uiPriority w:val="30"/>
    <w:qFormat/>
    <w:rsid w:val="00790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90BC6"/>
    <w:rPr>
      <w:i/>
      <w:iCs/>
      <w:color w:val="2F5496" w:themeColor="accent1" w:themeShade="BF"/>
    </w:rPr>
  </w:style>
  <w:style w:type="character" w:styleId="a9">
    <w:name w:val="Intense Reference"/>
    <w:basedOn w:val="a0"/>
    <w:uiPriority w:val="32"/>
    <w:qFormat/>
    <w:rsid w:val="00790BC6"/>
    <w:rPr>
      <w:b/>
      <w:bCs/>
      <w:smallCaps/>
      <w:color w:val="2F5496" w:themeColor="accent1" w:themeShade="BF"/>
      <w:spacing w:val="5"/>
    </w:rPr>
  </w:style>
  <w:style w:type="paragraph" w:customStyle="1" w:styleId="p1">
    <w:name w:val="p1"/>
    <w:basedOn w:val="a"/>
    <w:rsid w:val="00790BC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790BC6"/>
  </w:style>
  <w:style w:type="paragraph" w:customStyle="1" w:styleId="p2">
    <w:name w:val="p2"/>
    <w:basedOn w:val="a"/>
    <w:rsid w:val="00790BC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790BC6"/>
  </w:style>
  <w:style w:type="paragraph" w:customStyle="1" w:styleId="p3">
    <w:name w:val="p3"/>
    <w:basedOn w:val="a"/>
    <w:rsid w:val="00790BC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790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2025-10-02T17:14:00Z</dcterms:created>
  <dcterms:modified xsi:type="dcterms:W3CDTF">2025-10-02T17:14:00Z</dcterms:modified>
</cp:coreProperties>
</file>